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35FED" w14:textId="799E4A18" w:rsidR="00B656B9" w:rsidRPr="00B17FB5" w:rsidRDefault="007C24D1" w:rsidP="00B17FB5">
      <w:r>
        <w:t xml:space="preserve">ArcGIS Enterprise releases that include Elastic ship with version 7.9.3 or earlier which are covered under the Apache License, and pre-date the Elastic use of the SSPL license.  </w:t>
      </w:r>
    </w:p>
    <w:sectPr w:rsidR="00B656B9" w:rsidRPr="00B17F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2BD"/>
    <w:rsid w:val="007C24D1"/>
    <w:rsid w:val="008D7A22"/>
    <w:rsid w:val="009C0818"/>
    <w:rsid w:val="00A553F3"/>
    <w:rsid w:val="00B17FB5"/>
    <w:rsid w:val="00B462BD"/>
    <w:rsid w:val="00B6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E6C38"/>
  <w15:chartTrackingRefBased/>
  <w15:docId w15:val="{551C082E-0F21-4765-9CB9-C1D01B26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6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62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5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153</Characters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2022-11-30T17:45:00Z</dcterms:created>
  <dcterms:modified xsi:type="dcterms:W3CDTF">2022-11-30T17:45:00Z</dcterms:modified>
</cp:coreProperties>
</file>